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25" w:type="dxa"/>
          <w:left w:w="25" w:type="dxa"/>
          <w:bottom w:w="25" w:type="dxa"/>
          <w:right w:w="25" w:type="dxa"/>
        </w:tblCellMar>
        <w:tblLook w:val="04A0"/>
      </w:tblPr>
      <w:tblGrid>
        <w:gridCol w:w="2161"/>
        <w:gridCol w:w="6151"/>
      </w:tblGrid>
      <w:tr w:rsidR="0041777A" w:rsidRPr="0041777A" w:rsidTr="0041777A">
        <w:tc>
          <w:tcPr>
            <w:tcW w:w="1300" w:type="pct"/>
            <w:tcBorders>
              <w:bottom w:val="dotted" w:sz="2" w:space="0" w:color="F1DDFF"/>
            </w:tcBorders>
            <w:shd w:val="clear" w:color="auto" w:fill="FDFDE4"/>
            <w:tcMar>
              <w:top w:w="25" w:type="dxa"/>
              <w:left w:w="0" w:type="dxa"/>
              <w:bottom w:w="25" w:type="dxa"/>
              <w:right w:w="0" w:type="dxa"/>
            </w:tcMar>
            <w:hideMark/>
          </w:tcPr>
          <w:p w:rsidR="0041777A" w:rsidRPr="0041777A" w:rsidRDefault="0041777A" w:rsidP="0041777A">
            <w:pPr>
              <w:widowControl/>
              <w:spacing w:line="226" w:lineRule="atLeast"/>
              <w:jc w:val="righ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41777A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法規名稱：</w:t>
            </w:r>
          </w:p>
        </w:tc>
        <w:tc>
          <w:tcPr>
            <w:tcW w:w="0" w:type="auto"/>
            <w:tcBorders>
              <w:bottom w:val="dotted" w:sz="2" w:space="0" w:color="F1DDFF"/>
            </w:tcBorders>
            <w:shd w:val="clear" w:color="auto" w:fill="FDFDE4"/>
            <w:tcMar>
              <w:top w:w="25" w:type="dxa"/>
              <w:left w:w="0" w:type="dxa"/>
              <w:bottom w:w="25" w:type="dxa"/>
              <w:right w:w="0" w:type="dxa"/>
            </w:tcMar>
            <w:hideMark/>
          </w:tcPr>
          <w:p w:rsidR="0041777A" w:rsidRPr="0041777A" w:rsidRDefault="0041777A" w:rsidP="0041777A">
            <w:pPr>
              <w:widowControl/>
              <w:spacing w:line="226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hyperlink r:id="rId4" w:history="1">
              <w:r w:rsidRPr="0041777A">
                <w:rPr>
                  <w:rFonts w:ascii="細明體" w:eastAsia="細明體" w:hAnsi="細明體" w:cs="新細明體" w:hint="eastAsia"/>
                  <w:color w:val="0077B4"/>
                  <w:kern w:val="0"/>
                  <w:szCs w:val="24"/>
                  <w:u w:val="single"/>
                </w:rPr>
                <w:t>校園飲品及點心販售範圍</w:t>
              </w:r>
            </w:hyperlink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 ( 民國 94 年 10 月 06 日 修正 )</w:t>
            </w:r>
          </w:p>
        </w:tc>
      </w:tr>
    </w:tbl>
    <w:p w:rsidR="0041777A" w:rsidRPr="0041777A" w:rsidRDefault="0041777A" w:rsidP="004177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5000" w:type="pct"/>
        <w:tblBorders>
          <w:top w:val="single" w:sz="2" w:space="0" w:color="FFFFFF"/>
          <w:left w:val="single" w:sz="2" w:space="0" w:color="E3E9F2"/>
          <w:bottom w:val="single" w:sz="2" w:space="0" w:color="E3E9F2"/>
          <w:right w:val="single" w:sz="2" w:space="0" w:color="E3E9F2"/>
        </w:tblBorders>
        <w:shd w:val="clear" w:color="auto" w:fill="FFFFFF"/>
        <w:tblCellMar>
          <w:top w:w="25" w:type="dxa"/>
          <w:left w:w="25" w:type="dxa"/>
          <w:bottom w:w="25" w:type="dxa"/>
          <w:right w:w="25" w:type="dxa"/>
        </w:tblCellMar>
        <w:tblLook w:val="04A0"/>
      </w:tblPr>
      <w:tblGrid>
        <w:gridCol w:w="1164"/>
        <w:gridCol w:w="7148"/>
      </w:tblGrid>
      <w:tr w:rsidR="0041777A" w:rsidRPr="0041777A" w:rsidTr="0041777A">
        <w:tc>
          <w:tcPr>
            <w:tcW w:w="700" w:type="pct"/>
            <w:tcBorders>
              <w:bottom w:val="dotted" w:sz="2" w:space="0" w:color="F1DDFF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hideMark/>
          </w:tcPr>
          <w:p w:rsidR="0041777A" w:rsidRPr="0041777A" w:rsidRDefault="0041777A" w:rsidP="0041777A">
            <w:pPr>
              <w:widowControl/>
              <w:spacing w:line="226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bottom w:val="dotted" w:sz="2" w:space="0" w:color="F1DDFF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hideMark/>
          </w:tcPr>
          <w:p w:rsidR="0041777A" w:rsidRPr="0041777A" w:rsidRDefault="0041777A" w:rsidP="0041777A">
            <w:pPr>
              <w:widowControl/>
              <w:spacing w:line="226" w:lineRule="atLeast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一、國中以下學校校園飲品及</w:t>
            </w:r>
            <w:r w:rsidRPr="0041777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點心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販售應遵循下列規定：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(一)飲品及</w:t>
            </w:r>
            <w:r w:rsidRPr="0041777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點心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食品一份供應量之熱量應在二五○大卡以下，其中由脂肪所提供之熱量應在百分之三十以下(但鮮乳、保久乳、蛋及豆漿得不受上述脂肪熱量比例限制)；添加糖類所提供之熱量應在百分之十以下(但優酪乳、豆漿之添加糖量得占總熱量之百分之三十以下)；鈉含量應在四○○毫克以下；校園烘焙食品(麵包、餅乾、米製品)油及糖所提供熱量之總和不得超過總熱量之百分之四十，且油、糖個別所占之熱量亦不得超過總熱量之百分之三十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(二)前款用語定義如下： 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1.飲品：指純果（蔬菜）汁、鮮乳、保久乳、豆漿、優酪乳、包裝飲用水及礦泉水等七種液態食品。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2.</w:t>
            </w:r>
            <w:r w:rsidRPr="0041777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點心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：指用於補充正餐之不足，且含有適量蛋白質及其他營養素之食品；其熱量較正餐為少，具有補充營養及矯正偏食之功用。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3.糖類：指單醣、雙醣之總稱。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4.鮮乳：指生乳經加溫殺菌包裝後冷藏供飲用之乳汁，並合於CNS3056之鮮乳定義者。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5.保久乳：指生乳經高壓滅菌或超高溫滅菌後，以瓶(罐)裝或無菌包裝供飲用之乳汁，並合於CNS13292之保久乳定義者。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6.優酪乳：指符合國家標準CNS3058之濃稠發酵乳或凝態發酵乳之規格，非脂肪乳固形物（MSNF）含量達百分之八以上，且添加之糖類所提供之熱量低於總熱量之百分之三十者。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7.豆漿：指符合國家標準CNS11140之豆奶規格，粗蛋白質含量在百分之二．六以上，且添加之糖類所提供之熱量低於總熱量之百分之三十者。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8.純果（蔬菜）汁：指符合國家標準CNS2377之純天然果汁、純天然蔬菜汁及綜合純天然果蔬汁規格者。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9.包裝飲用水：指以密閉容器包裝可直接飲用之水，符合國家標準 CNS12852之包裝飲用水規格者。但不包括礦泉水及添加礦物質與二氧化碳之碳酸飲料水類產品。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    11.礦泉水：指以密閉容器包裝可直接飲用之天然礦泉水，並符合國家標準CNS12700之包裝礦泉水規格者。但不包括添加礦物質製成之飲用水。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二、高中職學校校園飲品及</w:t>
            </w:r>
            <w:r w:rsidRPr="0041777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點心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販售，學校應依據「學校餐廳廚房員生消費合作社衛生管理辦法」第十三條第一項及第二項規定辦理，且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lastRenderedPageBreak/>
              <w:t>於午餐時間不得販售影響正餐之飲品與</w:t>
            </w:r>
            <w:r w:rsidRPr="0041777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點心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三、完全中學校園飲品及</w:t>
            </w:r>
            <w:r w:rsidRPr="0041777A">
              <w:rPr>
                <w:rFonts w:ascii="細明體" w:eastAsia="細明體" w:hAnsi="細明體" w:cs="新細明體" w:hint="eastAsia"/>
                <w:color w:val="FF0000"/>
                <w:kern w:val="0"/>
                <w:szCs w:val="24"/>
              </w:rPr>
              <w:t>點心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販售，應比照國中以下學校規定辦理。但其高中部與國中部之員生消費合作社及自動販賣機分屬獨立者，不在此限。</w:t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</w:r>
            <w:r w:rsidRPr="0041777A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br/>
              <w:t>四、各校應加強教導學生辨識營養標示，學習熱量計算及選擇均衡飲食等營養教育之實施。</w:t>
            </w:r>
          </w:p>
        </w:tc>
      </w:tr>
    </w:tbl>
    <w:p w:rsidR="001262A1" w:rsidRPr="0041777A" w:rsidRDefault="001262A1"/>
    <w:sectPr w:rsidR="001262A1" w:rsidRPr="0041777A" w:rsidSect="001262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77A"/>
    <w:rsid w:val="001262A1"/>
    <w:rsid w:val="0041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7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777A"/>
  </w:style>
  <w:style w:type="character" w:customStyle="1" w:styleId="memotext3">
    <w:name w:val="memo_text3"/>
    <w:basedOn w:val="a0"/>
    <w:rsid w:val="00417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law.moe.gov.tw/LawContent.aspx?id=GL00032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994</Characters>
  <Application>Microsoft Office Word</Application>
  <DocSecurity>0</DocSecurity>
  <Lines>8</Lines>
  <Paragraphs>2</Paragraphs>
  <ScaleCrop>false</ScaleCrop>
  <Company>C.M.T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2016-02-02T03:28:00Z</dcterms:created>
  <dcterms:modified xsi:type="dcterms:W3CDTF">2016-02-02T03:32:00Z</dcterms:modified>
</cp:coreProperties>
</file>